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51" w:type="dxa"/>
        <w:tblLayout w:type="fixed"/>
        <w:tblCellMar>
          <w:top w:w="113" w:type="dxa"/>
          <w:bottom w:w="85" w:type="dxa"/>
        </w:tblCellMar>
        <w:tblLook w:val="04A0" w:firstRow="1" w:lastRow="0" w:firstColumn="1" w:lastColumn="0" w:noHBand="0" w:noVBand="1"/>
      </w:tblPr>
      <w:tblGrid>
        <w:gridCol w:w="2830"/>
        <w:gridCol w:w="6521"/>
      </w:tblGrid>
      <w:tr w:rsidR="00340ADB" w:rsidRPr="00340ADB" w:rsidTr="005C17E5">
        <w:trPr>
          <w:trHeight w:val="1162"/>
        </w:trPr>
        <w:tc>
          <w:tcPr>
            <w:tcW w:w="2830" w:type="dxa"/>
            <w:tcBorders>
              <w:bottom w:val="nil"/>
              <w:right w:val="nil"/>
            </w:tcBorders>
            <w:shd w:val="clear" w:color="auto" w:fill="FFCC00"/>
          </w:tcPr>
          <w:p w:rsidR="00340ADB" w:rsidRPr="00340ADB" w:rsidRDefault="00340ADB">
            <w:pPr>
              <w:rPr>
                <w:rFonts w:cs="Tahoma"/>
              </w:rPr>
            </w:pPr>
            <w:bookmarkStart w:id="0" w:name="_GoBack"/>
            <w:bookmarkEnd w:id="0"/>
            <w:r>
              <w:rPr>
                <w:rFonts w:cs="Tahoma"/>
                <w:noProof/>
                <w:lang w:eastAsia="de-DE"/>
              </w:rPr>
              <w:drawing>
                <wp:anchor distT="0" distB="0" distL="114300" distR="114300" simplePos="0" relativeHeight="251658240" behindDoc="0" locked="0" layoutInCell="1" allowOverlap="1" wp14:anchorId="649C7207" wp14:editId="60CF6416">
                  <wp:simplePos x="0" y="0"/>
                  <wp:positionH relativeFrom="column">
                    <wp:posOffset>69436</wp:posOffset>
                  </wp:positionH>
                  <wp:positionV relativeFrom="paragraph">
                    <wp:posOffset>39122</wp:posOffset>
                  </wp:positionV>
                  <wp:extent cx="1423283" cy="1120835"/>
                  <wp:effectExtent l="0" t="0" r="571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9268" cy="1125548"/>
                          </a:xfrm>
                          <a:prstGeom prst="rect">
                            <a:avLst/>
                          </a:prstGeom>
                          <a:noFill/>
                        </pic:spPr>
                      </pic:pic>
                    </a:graphicData>
                  </a:graphic>
                  <wp14:sizeRelH relativeFrom="page">
                    <wp14:pctWidth>0</wp14:pctWidth>
                  </wp14:sizeRelH>
                  <wp14:sizeRelV relativeFrom="page">
                    <wp14:pctHeight>0</wp14:pctHeight>
                  </wp14:sizeRelV>
                </wp:anchor>
              </w:drawing>
            </w:r>
          </w:p>
        </w:tc>
        <w:tc>
          <w:tcPr>
            <w:tcW w:w="6521" w:type="dxa"/>
            <w:tcBorders>
              <w:left w:val="nil"/>
              <w:bottom w:val="nil"/>
            </w:tcBorders>
            <w:shd w:val="clear" w:color="auto" w:fill="FFCC00"/>
            <w:vAlign w:val="center"/>
          </w:tcPr>
          <w:p w:rsidR="00340ADB" w:rsidRPr="005C17E5" w:rsidRDefault="005C17E5" w:rsidP="005C17E5">
            <w:pPr>
              <w:spacing w:before="240" w:after="100" w:afterAutospacing="1"/>
              <w:rPr>
                <w:rFonts w:cs="Tahoma"/>
                <w:sz w:val="40"/>
                <w:szCs w:val="40"/>
              </w:rPr>
            </w:pPr>
            <w:r>
              <w:rPr>
                <w:rFonts w:cs="Tahoma"/>
                <w:sz w:val="40"/>
                <w:szCs w:val="40"/>
              </w:rPr>
              <w:t xml:space="preserve">          </w:t>
            </w:r>
            <w:r w:rsidR="006248B7">
              <w:rPr>
                <w:rFonts w:cs="Tahoma"/>
                <w:sz w:val="40"/>
                <w:szCs w:val="40"/>
              </w:rPr>
              <w:t xml:space="preserve">    </w:t>
            </w:r>
            <w:r>
              <w:rPr>
                <w:rFonts w:cs="Tahoma"/>
                <w:sz w:val="40"/>
                <w:szCs w:val="40"/>
              </w:rPr>
              <w:t xml:space="preserve">   </w:t>
            </w:r>
            <w:r w:rsidR="00340ADB" w:rsidRPr="005C17E5">
              <w:rPr>
                <w:rFonts w:cs="Tahoma"/>
                <w:sz w:val="40"/>
                <w:szCs w:val="40"/>
              </w:rPr>
              <w:t>Aktuelles</w:t>
            </w:r>
          </w:p>
        </w:tc>
      </w:tr>
      <w:tr w:rsidR="005C17E5" w:rsidRPr="00340ADB" w:rsidTr="000D4545">
        <w:trPr>
          <w:trHeight w:val="752"/>
        </w:trPr>
        <w:tc>
          <w:tcPr>
            <w:tcW w:w="9351" w:type="dxa"/>
            <w:gridSpan w:val="2"/>
            <w:tcBorders>
              <w:top w:val="nil"/>
              <w:bottom w:val="nil"/>
            </w:tcBorders>
            <w:shd w:val="clear" w:color="auto" w:fill="auto"/>
          </w:tcPr>
          <w:p w:rsidR="005C17E5" w:rsidRPr="005C17E5" w:rsidRDefault="005C17E5">
            <w:pPr>
              <w:rPr>
                <w:rFonts w:ascii="Arial" w:hAnsi="Arial" w:cs="Arial"/>
                <w:b/>
                <w:sz w:val="48"/>
                <w:szCs w:val="48"/>
              </w:rPr>
            </w:pPr>
          </w:p>
          <w:p w:rsidR="005C17E5" w:rsidRPr="005C17E5" w:rsidRDefault="005C17E5">
            <w:pPr>
              <w:rPr>
                <w:rFonts w:ascii="Arial" w:hAnsi="Arial" w:cs="Arial"/>
                <w:b/>
                <w:sz w:val="4"/>
                <w:szCs w:val="4"/>
              </w:rPr>
            </w:pPr>
          </w:p>
          <w:p w:rsidR="005C17E5" w:rsidRPr="005C17E5" w:rsidRDefault="005C17E5" w:rsidP="005C17E5">
            <w:pPr>
              <w:jc w:val="center"/>
              <w:rPr>
                <w:rFonts w:cs="Tahoma"/>
                <w:sz w:val="10"/>
                <w:szCs w:val="10"/>
              </w:rPr>
            </w:pPr>
            <w:proofErr w:type="spellStart"/>
            <w:r w:rsidRPr="005C17E5">
              <w:rPr>
                <w:rFonts w:ascii="Arial" w:hAnsi="Arial" w:cs="Arial"/>
                <w:b/>
                <w:sz w:val="70"/>
                <w:szCs w:val="70"/>
              </w:rPr>
              <w:t>Schöff</w:t>
            </w:r>
            <w:proofErr w:type="spellEnd"/>
            <w:r w:rsidRPr="005C17E5">
              <w:rPr>
                <w:rFonts w:ascii="Arial" w:hAnsi="Arial" w:cs="Arial"/>
                <w:b/>
                <w:sz w:val="70"/>
                <w:szCs w:val="70"/>
              </w:rPr>
              <w:t>*innen gesucht!</w:t>
            </w:r>
          </w:p>
        </w:tc>
      </w:tr>
      <w:tr w:rsidR="00340ADB" w:rsidRPr="00340ADB" w:rsidTr="005C17E5">
        <w:trPr>
          <w:trHeight w:val="1956"/>
        </w:trPr>
        <w:tc>
          <w:tcPr>
            <w:tcW w:w="9351" w:type="dxa"/>
            <w:gridSpan w:val="2"/>
            <w:tcBorders>
              <w:top w:val="nil"/>
              <w:bottom w:val="single" w:sz="4" w:space="0" w:color="auto"/>
            </w:tcBorders>
          </w:tcPr>
          <w:tbl>
            <w:tblPr>
              <w:tblStyle w:val="Tabellenraster"/>
              <w:tblpPr w:leftFromText="141" w:rightFromText="141" w:vertAnchor="page" w:horzAnchor="margin" w:tblpY="1"/>
              <w:tblOverlap w:val="never"/>
              <w:tblW w:w="13808" w:type="dxa"/>
              <w:tblLayout w:type="fixed"/>
              <w:tblCellMar>
                <w:top w:w="113" w:type="dxa"/>
                <w:bottom w:w="113" w:type="dxa"/>
              </w:tblCellMar>
              <w:tblLook w:val="04A0" w:firstRow="1" w:lastRow="0" w:firstColumn="1" w:lastColumn="0" w:noHBand="0" w:noVBand="1"/>
            </w:tblPr>
            <w:tblGrid>
              <w:gridCol w:w="9453"/>
              <w:gridCol w:w="4355"/>
            </w:tblGrid>
            <w:tr w:rsidR="005C17E5" w:rsidTr="005C17E5">
              <w:trPr>
                <w:trHeight w:val="5119"/>
              </w:trPr>
              <w:tc>
                <w:tcPr>
                  <w:tcW w:w="9453" w:type="dxa"/>
                  <w:tcBorders>
                    <w:top w:val="nil"/>
                    <w:left w:val="nil"/>
                    <w:bottom w:val="nil"/>
                    <w:right w:val="nil"/>
                  </w:tcBorders>
                </w:tcPr>
                <w:p w:rsidR="005C17E5" w:rsidRPr="005C17E5" w:rsidRDefault="005C17E5" w:rsidP="005C17E5">
                  <w:pPr>
                    <w:spacing w:after="240" w:line="276" w:lineRule="auto"/>
                    <w:ind w:right="269"/>
                    <w:jc w:val="both"/>
                    <w:rPr>
                      <w:rFonts w:ascii="Arial" w:hAnsi="Arial" w:cs="Arial"/>
                      <w:b/>
                      <w:sz w:val="34"/>
                      <w:szCs w:val="34"/>
                    </w:rPr>
                  </w:pPr>
                  <w:r w:rsidRPr="005C17E5">
                    <w:rPr>
                      <w:rFonts w:ascii="Arial" w:hAnsi="Arial" w:cs="Arial"/>
                      <w:b/>
                      <w:sz w:val="34"/>
                      <w:szCs w:val="34"/>
                    </w:rPr>
                    <w:t>Volkshochschulen informieren über das Ehrenamt</w:t>
                  </w:r>
                </w:p>
                <w:p w:rsidR="005C17E5" w:rsidRDefault="005C17E5" w:rsidP="005C17E5">
                  <w:pPr>
                    <w:spacing w:after="240" w:line="276" w:lineRule="auto"/>
                    <w:ind w:right="269"/>
                    <w:jc w:val="both"/>
                    <w:rPr>
                      <w:rFonts w:ascii="Arial" w:hAnsi="Arial" w:cs="Arial"/>
                    </w:rPr>
                  </w:pPr>
                  <w:r>
                    <w:rPr>
                      <w:rFonts w:ascii="Arial" w:hAnsi="Arial" w:cs="Arial"/>
                    </w:rPr>
                    <w:t xml:space="preserve">In diesem Jahr werden bundesweit die </w:t>
                  </w:r>
                  <w:proofErr w:type="spellStart"/>
                  <w:r>
                    <w:rPr>
                      <w:rFonts w:ascii="Arial" w:hAnsi="Arial" w:cs="Arial"/>
                    </w:rPr>
                    <w:t>Schöff</w:t>
                  </w:r>
                  <w:proofErr w:type="spellEnd"/>
                  <w:r>
                    <w:rPr>
                      <w:rFonts w:ascii="Arial" w:hAnsi="Arial" w:cs="Arial"/>
                    </w:rPr>
                    <w:t>*innen neu gewählt. Im Vorfeld informieren die Volkshochschulen in ganz Rheinland-Pfalz mit zwei zentralen online- Informations-veranstaltungen über die Tätigkeit der ehrenamtlichen Richter*innen.</w:t>
                  </w:r>
                </w:p>
                <w:p w:rsidR="005C17E5" w:rsidRDefault="005C17E5" w:rsidP="005C17E5">
                  <w:pPr>
                    <w:spacing w:after="120" w:line="276" w:lineRule="auto"/>
                    <w:ind w:right="269"/>
                    <w:jc w:val="both"/>
                    <w:rPr>
                      <w:rFonts w:ascii="Arial" w:hAnsi="Arial" w:cs="Arial"/>
                      <w:color w:val="000000"/>
                    </w:rPr>
                  </w:pPr>
                  <w:r>
                    <w:rPr>
                      <w:rFonts w:ascii="Arial" w:hAnsi="Arial" w:cs="Arial"/>
                      <w:color w:val="000000"/>
                    </w:rPr>
                    <w:t xml:space="preserve">Aktuell bereiten sich die Kommunen in Rheinland-Pfalz auf die Schöffenwahl 2023 für die Amtszeit 2024–28 vor. Bürgerinnen und Bürger von 25 bis 69 Jahren können sich bei der Verbandsgemeindeverwaltung für das allgemeine Schöffenamt oder beim Jugendamt des Westerwaldkreises als Jugendschöffin oder -schöffe bewerben. Juristische Kenntnisse sind </w:t>
                  </w:r>
                  <w:r>
                    <w:rPr>
                      <w:rFonts w:ascii="Arial" w:hAnsi="Arial" w:cs="Arial"/>
                      <w:color w:val="000000"/>
                    </w:rPr>
                    <w:br/>
                    <w:t>für das Amt nicht erforderlich.</w:t>
                  </w:r>
                  <w:r w:rsidR="004E3BD0">
                    <w:rPr>
                      <w:rFonts w:ascii="Arial" w:hAnsi="Arial" w:cs="Arial"/>
                      <w:color w:val="000000"/>
                    </w:rPr>
                    <w:t xml:space="preserve"> </w:t>
                  </w:r>
                </w:p>
                <w:p w:rsidR="005C17E5" w:rsidRDefault="005C17E5" w:rsidP="005C17E5">
                  <w:pPr>
                    <w:spacing w:after="120" w:line="276" w:lineRule="auto"/>
                    <w:ind w:right="269"/>
                    <w:jc w:val="both"/>
                    <w:rPr>
                      <w:rFonts w:ascii="Arial" w:hAnsi="Arial" w:cs="Arial"/>
                      <w:color w:val="000000"/>
                    </w:rPr>
                  </w:pPr>
                  <w:r>
                    <w:rPr>
                      <w:rFonts w:ascii="Arial" w:hAnsi="Arial" w:cs="Arial"/>
                      <w:color w:val="000000"/>
                    </w:rPr>
                    <w:t xml:space="preserve">Das Schöffenamt ist ein wichtiges Element der Teilhabe der Zivilgesellschaft an der Dritten Staatsgewalt. Das Grundgesetz öffnet jedem deutschen Staatsangehörigen in gleicher Weise den Zugang zu den öffentlichen (Ehren)Ämtern - nach Eignung, Leistung und Befähigung. </w:t>
                  </w:r>
                </w:p>
                <w:p w:rsidR="005C17E5" w:rsidRDefault="005C17E5" w:rsidP="005C17E5">
                  <w:pPr>
                    <w:spacing w:after="120" w:line="276" w:lineRule="auto"/>
                    <w:ind w:right="269"/>
                    <w:jc w:val="both"/>
                    <w:rPr>
                      <w:rFonts w:ascii="Arial" w:hAnsi="Arial" w:cs="Arial"/>
                      <w:color w:val="000000"/>
                    </w:rPr>
                  </w:pPr>
                  <w:r>
                    <w:rPr>
                      <w:rFonts w:ascii="Arial" w:hAnsi="Arial" w:cs="Arial"/>
                      <w:color w:val="000000"/>
                    </w:rPr>
                    <w:t xml:space="preserve">Welche Bedingungen Bewerber*innen für das Amt mitbringen müssen, welche Einflussmöglichkeiten sie im Gericht haben, aber auch die Belastungen des Amtes (z.B. bei der Vereinbarung mit dem Arbeitsplatz) erläutert in den beiden geplanten </w:t>
                  </w:r>
                  <w:r w:rsidRPr="00FA1E48">
                    <w:rPr>
                      <w:rFonts w:ascii="Arial" w:hAnsi="Arial" w:cs="Arial"/>
                      <w:b/>
                      <w:color w:val="000000"/>
                      <w:u w:val="single"/>
                    </w:rPr>
                    <w:t>online-Seminaren</w:t>
                  </w:r>
                  <w:r>
                    <w:rPr>
                      <w:rFonts w:ascii="Arial" w:hAnsi="Arial" w:cs="Arial"/>
                      <w:color w:val="000000"/>
                    </w:rPr>
                    <w:t xml:space="preserve"> ein großer Kenner des Amtes. </w:t>
                  </w:r>
                </w:p>
                <w:p w:rsidR="005C17E5" w:rsidRDefault="005C17E5" w:rsidP="005C17E5">
                  <w:pPr>
                    <w:spacing w:after="120" w:line="276" w:lineRule="auto"/>
                    <w:ind w:right="269"/>
                    <w:jc w:val="both"/>
                    <w:rPr>
                      <w:rFonts w:ascii="Arial" w:hAnsi="Arial" w:cs="Arial"/>
                      <w:color w:val="000000"/>
                    </w:rPr>
                  </w:pPr>
                  <w:r>
                    <w:rPr>
                      <w:rFonts w:ascii="Arial" w:hAnsi="Arial" w:cs="Arial"/>
                      <w:color w:val="000000"/>
                    </w:rPr>
                    <w:t>Hasso Lieber, ehemaliger Richter und Staatssekretär für Justiz, ist Autor mehrerer Bücher über das Schöffenamt, Gründer und Generalsekretär des Europäischen Netzwerkes der Organisationen ehrenamtlicher Laienrichter und geschäftsführender Gesellschafter einer gemeinnützigen GmbH zur Förderung des richterlichen Ehrenamtes (</w:t>
                  </w:r>
                  <w:proofErr w:type="spellStart"/>
                  <w:r>
                    <w:rPr>
                      <w:rFonts w:ascii="Arial" w:hAnsi="Arial" w:cs="Arial"/>
                      <w:color w:val="000000"/>
                    </w:rPr>
                    <w:t>PariJus</w:t>
                  </w:r>
                  <w:proofErr w:type="spellEnd"/>
                  <w:r>
                    <w:rPr>
                      <w:rFonts w:ascii="Arial" w:hAnsi="Arial" w:cs="Arial"/>
                      <w:color w:val="000000"/>
                    </w:rPr>
                    <w:t xml:space="preserve">). </w:t>
                  </w:r>
                </w:p>
                <w:p w:rsidR="005C17E5" w:rsidRDefault="005C17E5" w:rsidP="005C17E5">
                  <w:pPr>
                    <w:tabs>
                      <w:tab w:val="left" w:pos="851"/>
                    </w:tabs>
                    <w:ind w:right="269"/>
                    <w:jc w:val="both"/>
                    <w:rPr>
                      <w:rFonts w:ascii="Calibri" w:hAnsi="Calibri"/>
                      <w:color w:val="000000"/>
                    </w:rPr>
                  </w:pPr>
                  <w:r>
                    <w:rPr>
                      <w:rFonts w:ascii="Arial" w:hAnsi="Arial" w:cs="Arial"/>
                      <w:color w:val="000000"/>
                    </w:rPr>
                    <w:t xml:space="preserve">Die </w:t>
                  </w:r>
                  <w:r w:rsidRPr="00FA1E48">
                    <w:rPr>
                      <w:rFonts w:ascii="Arial" w:hAnsi="Arial" w:cs="Arial"/>
                      <w:color w:val="000000"/>
                    </w:rPr>
                    <w:t>online-Seminare</w:t>
                  </w:r>
                  <w:r>
                    <w:rPr>
                      <w:rFonts w:ascii="Arial" w:hAnsi="Arial" w:cs="Arial"/>
                      <w:color w:val="000000"/>
                    </w:rPr>
                    <w:t xml:space="preserve"> finden am </w:t>
                  </w:r>
                  <w:r w:rsidRPr="005C17E5">
                    <w:rPr>
                      <w:rFonts w:ascii="Arial" w:hAnsi="Arial" w:cs="Arial"/>
                      <w:b/>
                      <w:color w:val="000000"/>
                      <w:u w:val="single"/>
                    </w:rPr>
                    <w:t>14. und 17. März</w:t>
                  </w:r>
                  <w:r>
                    <w:rPr>
                      <w:rFonts w:ascii="Arial" w:hAnsi="Arial" w:cs="Arial"/>
                      <w:color w:val="000000"/>
                    </w:rPr>
                    <w:t xml:space="preserve"> statt. Die </w:t>
                  </w:r>
                  <w:r w:rsidRPr="005C17E5">
                    <w:rPr>
                      <w:rFonts w:ascii="Arial" w:hAnsi="Arial" w:cs="Arial"/>
                      <w:b/>
                      <w:color w:val="000000"/>
                    </w:rPr>
                    <w:t>Anmeldung</w:t>
                  </w:r>
                  <w:r>
                    <w:rPr>
                      <w:rFonts w:ascii="Arial" w:hAnsi="Arial" w:cs="Arial"/>
                      <w:color w:val="000000"/>
                    </w:rPr>
                    <w:t xml:space="preserve"> erfolgt über die </w:t>
                  </w:r>
                  <w:r w:rsidRPr="005C17E5">
                    <w:rPr>
                      <w:rFonts w:ascii="Arial" w:hAnsi="Arial" w:cs="Arial"/>
                    </w:rPr>
                    <w:t>Geschäftsstelle</w:t>
                  </w:r>
                  <w:r>
                    <w:rPr>
                      <w:rFonts w:ascii="Arial" w:hAnsi="Arial" w:cs="Arial"/>
                    </w:rPr>
                    <w:t xml:space="preserve"> der VHS Bad Marienberg, </w:t>
                  </w:r>
                  <w:proofErr w:type="spellStart"/>
                  <w:r w:rsidRPr="005C17E5">
                    <w:rPr>
                      <w:rFonts w:ascii="Arial" w:hAnsi="Arial" w:cs="Arial"/>
                      <w:szCs w:val="24"/>
                    </w:rPr>
                    <w:t>Kirburger</w:t>
                  </w:r>
                  <w:proofErr w:type="spellEnd"/>
                  <w:r w:rsidRPr="005C17E5">
                    <w:rPr>
                      <w:rFonts w:ascii="Arial" w:hAnsi="Arial" w:cs="Arial"/>
                      <w:szCs w:val="24"/>
                    </w:rPr>
                    <w:t xml:space="preserve"> Straße 4, 56470 Bad Marienberg, </w:t>
                  </w:r>
                  <w:hyperlink r:id="rId7" w:history="1">
                    <w:r w:rsidRPr="005C17E5">
                      <w:rPr>
                        <w:rStyle w:val="Hyperlink"/>
                        <w:rFonts w:ascii="Arial" w:hAnsi="Arial" w:cs="Arial"/>
                        <w:color w:val="auto"/>
                        <w:szCs w:val="24"/>
                      </w:rPr>
                      <w:t>info@vhs-bad-marienberg.de</w:t>
                    </w:r>
                  </w:hyperlink>
                  <w:r w:rsidRPr="005C17E5">
                    <w:rPr>
                      <w:rFonts w:ascii="Arial" w:hAnsi="Arial" w:cs="Arial"/>
                      <w:szCs w:val="24"/>
                    </w:rPr>
                    <w:t xml:space="preserve"> Telefon: 02661-6268312</w:t>
                  </w:r>
                  <w:r>
                    <w:rPr>
                      <w:rFonts w:ascii="Arial" w:hAnsi="Arial" w:cs="Arial"/>
                      <w:szCs w:val="24"/>
                    </w:rPr>
                    <w:t>. Sie erhalten dann die Zugangsdaten für die Teilnahme an dem gewünschten Seminartermin.</w:t>
                  </w:r>
                  <w:r w:rsidR="004E3BD0">
                    <w:rPr>
                      <w:rFonts w:ascii="Arial" w:hAnsi="Arial" w:cs="Arial"/>
                      <w:color w:val="000000"/>
                    </w:rPr>
                    <w:t xml:space="preserve"> Weitere Informationen enthält die Homepage  www.</w:t>
                  </w:r>
                  <w:r w:rsidR="004E3BD0">
                    <w:t xml:space="preserve"> </w:t>
                  </w:r>
                  <w:r w:rsidR="004E3BD0" w:rsidRPr="004E3BD0">
                    <w:rPr>
                      <w:rFonts w:ascii="Arial" w:hAnsi="Arial" w:cs="Arial"/>
                      <w:color w:val="000000"/>
                    </w:rPr>
                    <w:t>schoeffenwahl2023.de</w:t>
                  </w:r>
                </w:p>
              </w:tc>
              <w:tc>
                <w:tcPr>
                  <w:tcW w:w="4355" w:type="dxa"/>
                  <w:tcBorders>
                    <w:left w:val="nil"/>
                  </w:tcBorders>
                </w:tcPr>
                <w:p w:rsidR="005C17E5" w:rsidRDefault="005C17E5" w:rsidP="00041591">
                  <w:pPr>
                    <w:rPr>
                      <w:rFonts w:ascii="Calibri" w:hAnsi="Calibri"/>
                      <w:color w:val="000000"/>
                    </w:rPr>
                  </w:pPr>
                </w:p>
                <w:p w:rsidR="005C17E5" w:rsidRDefault="005C17E5" w:rsidP="00041591">
                  <w:pPr>
                    <w:rPr>
                      <w:rFonts w:ascii="Calibri" w:hAnsi="Calibri"/>
                      <w:color w:val="000000"/>
                    </w:rPr>
                  </w:pPr>
                </w:p>
                <w:p w:rsidR="005C17E5" w:rsidRPr="004244F5" w:rsidRDefault="005C17E5" w:rsidP="00487862">
                  <w:pPr>
                    <w:rPr>
                      <w:rFonts w:ascii="Calibri" w:hAnsi="Calibri"/>
                      <w:color w:val="000000"/>
                    </w:rPr>
                  </w:pPr>
                </w:p>
              </w:tc>
            </w:tr>
          </w:tbl>
          <w:p w:rsidR="00340ADB" w:rsidRPr="00340ADB" w:rsidRDefault="00340ADB">
            <w:pPr>
              <w:rPr>
                <w:rFonts w:cs="Tahoma"/>
              </w:rPr>
            </w:pPr>
          </w:p>
        </w:tc>
      </w:tr>
      <w:tr w:rsidR="00487862" w:rsidRPr="00340ADB" w:rsidTr="005C17E5">
        <w:trPr>
          <w:trHeight w:val="104"/>
        </w:trPr>
        <w:tc>
          <w:tcPr>
            <w:tcW w:w="9351" w:type="dxa"/>
            <w:gridSpan w:val="2"/>
            <w:tcBorders>
              <w:top w:val="nil"/>
            </w:tcBorders>
            <w:shd w:val="clear" w:color="auto" w:fill="2D2943"/>
            <w:vAlign w:val="bottom"/>
          </w:tcPr>
          <w:p w:rsidR="00487862" w:rsidRPr="005C17E5" w:rsidRDefault="00487862" w:rsidP="00487862">
            <w:pPr>
              <w:rPr>
                <w:rFonts w:cs="Tahoma"/>
                <w:sz w:val="4"/>
                <w:szCs w:val="4"/>
              </w:rPr>
            </w:pPr>
          </w:p>
        </w:tc>
      </w:tr>
    </w:tbl>
    <w:p w:rsidR="00343551" w:rsidRPr="00487862" w:rsidRDefault="00343551">
      <w:pPr>
        <w:rPr>
          <w:sz w:val="8"/>
          <w:szCs w:val="8"/>
        </w:rPr>
      </w:pPr>
    </w:p>
    <w:sectPr w:rsidR="00343551" w:rsidRPr="00487862" w:rsidSect="006A1368">
      <w:pgSz w:w="11906" w:h="16838"/>
      <w:pgMar w:top="45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DB"/>
    <w:rsid w:val="00030C10"/>
    <w:rsid w:val="00041591"/>
    <w:rsid w:val="000D5DC1"/>
    <w:rsid w:val="000E7B70"/>
    <w:rsid w:val="001543C2"/>
    <w:rsid w:val="0017008F"/>
    <w:rsid w:val="002452A9"/>
    <w:rsid w:val="00276406"/>
    <w:rsid w:val="00287633"/>
    <w:rsid w:val="00287E82"/>
    <w:rsid w:val="002A685F"/>
    <w:rsid w:val="00340ADB"/>
    <w:rsid w:val="00343551"/>
    <w:rsid w:val="003572D8"/>
    <w:rsid w:val="00396AC9"/>
    <w:rsid w:val="003B2101"/>
    <w:rsid w:val="004244F5"/>
    <w:rsid w:val="00425D34"/>
    <w:rsid w:val="004319B5"/>
    <w:rsid w:val="00487862"/>
    <w:rsid w:val="004C03F0"/>
    <w:rsid w:val="004D43C8"/>
    <w:rsid w:val="004E3BD0"/>
    <w:rsid w:val="0052108E"/>
    <w:rsid w:val="005528A4"/>
    <w:rsid w:val="00552B60"/>
    <w:rsid w:val="00586A6C"/>
    <w:rsid w:val="005A2690"/>
    <w:rsid w:val="005C17E5"/>
    <w:rsid w:val="006248B7"/>
    <w:rsid w:val="00696D1A"/>
    <w:rsid w:val="006A1368"/>
    <w:rsid w:val="007503C2"/>
    <w:rsid w:val="00752853"/>
    <w:rsid w:val="007842AD"/>
    <w:rsid w:val="007A611C"/>
    <w:rsid w:val="00805339"/>
    <w:rsid w:val="0081422B"/>
    <w:rsid w:val="00844654"/>
    <w:rsid w:val="00856C6D"/>
    <w:rsid w:val="008A0B02"/>
    <w:rsid w:val="008A6FF4"/>
    <w:rsid w:val="008B3539"/>
    <w:rsid w:val="008C529C"/>
    <w:rsid w:val="008D262D"/>
    <w:rsid w:val="008D7C5E"/>
    <w:rsid w:val="00904BB7"/>
    <w:rsid w:val="00906290"/>
    <w:rsid w:val="0096722C"/>
    <w:rsid w:val="009865C9"/>
    <w:rsid w:val="00993AFE"/>
    <w:rsid w:val="009E3D9B"/>
    <w:rsid w:val="00A01C78"/>
    <w:rsid w:val="00A16673"/>
    <w:rsid w:val="00AD6B65"/>
    <w:rsid w:val="00AF5A4E"/>
    <w:rsid w:val="00AF6DF1"/>
    <w:rsid w:val="00B022A4"/>
    <w:rsid w:val="00B070B4"/>
    <w:rsid w:val="00B1331D"/>
    <w:rsid w:val="00B150B7"/>
    <w:rsid w:val="00B5066C"/>
    <w:rsid w:val="00B6690D"/>
    <w:rsid w:val="00BC4F9F"/>
    <w:rsid w:val="00C24378"/>
    <w:rsid w:val="00C313CD"/>
    <w:rsid w:val="00C60D01"/>
    <w:rsid w:val="00C6235E"/>
    <w:rsid w:val="00CC2187"/>
    <w:rsid w:val="00CD6757"/>
    <w:rsid w:val="00D87430"/>
    <w:rsid w:val="00D96351"/>
    <w:rsid w:val="00DD6EB1"/>
    <w:rsid w:val="00F8250A"/>
    <w:rsid w:val="00FA1E48"/>
    <w:rsid w:val="00FE75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A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ADB"/>
    <w:rPr>
      <w:rFonts w:ascii="Tahoma" w:hAnsi="Tahoma" w:cs="Tahoma"/>
      <w:sz w:val="16"/>
      <w:szCs w:val="16"/>
    </w:rPr>
  </w:style>
  <w:style w:type="character" w:styleId="Hyperlink">
    <w:name w:val="Hyperlink"/>
    <w:basedOn w:val="Absatz-Standardschriftart"/>
    <w:uiPriority w:val="99"/>
    <w:unhideWhenUsed/>
    <w:rsid w:val="008A0B02"/>
    <w:rPr>
      <w:color w:val="0000FF" w:themeColor="hyperlink"/>
      <w:u w:val="single"/>
    </w:rPr>
  </w:style>
  <w:style w:type="character" w:customStyle="1" w:styleId="NichtaufgelsteErwhnung1">
    <w:name w:val="Nicht aufgelöste Erwähnung1"/>
    <w:basedOn w:val="Absatz-Standardschriftart"/>
    <w:uiPriority w:val="99"/>
    <w:semiHidden/>
    <w:unhideWhenUsed/>
    <w:rsid w:val="00904BB7"/>
    <w:rPr>
      <w:color w:val="605E5C"/>
      <w:shd w:val="clear" w:color="auto" w:fill="E1DFDD"/>
    </w:rPr>
  </w:style>
  <w:style w:type="character" w:customStyle="1" w:styleId="UnresolvedMention">
    <w:name w:val="Unresolved Mention"/>
    <w:basedOn w:val="Absatz-Standardschriftart"/>
    <w:uiPriority w:val="99"/>
    <w:semiHidden/>
    <w:unhideWhenUsed/>
    <w:rsid w:val="005C17E5"/>
    <w:rPr>
      <w:color w:val="605E5C"/>
      <w:shd w:val="clear" w:color="auto" w:fill="E1DFDD"/>
    </w:rPr>
  </w:style>
  <w:style w:type="paragraph" w:styleId="Kommentartext">
    <w:name w:val="annotation text"/>
    <w:basedOn w:val="Standard"/>
    <w:link w:val="KommentartextZchn"/>
    <w:uiPriority w:val="99"/>
    <w:semiHidden/>
    <w:unhideWhenUsed/>
    <w:rsid w:val="005C17E5"/>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5C17E5"/>
    <w:rPr>
      <w:sz w:val="20"/>
      <w:szCs w:val="20"/>
    </w:rPr>
  </w:style>
  <w:style w:type="character" w:styleId="Kommentarzeichen">
    <w:name w:val="annotation reference"/>
    <w:basedOn w:val="Absatz-Standardschriftart"/>
    <w:uiPriority w:val="99"/>
    <w:semiHidden/>
    <w:unhideWhenUsed/>
    <w:rsid w:val="005C17E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4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40A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40ADB"/>
    <w:rPr>
      <w:rFonts w:ascii="Tahoma" w:hAnsi="Tahoma" w:cs="Tahoma"/>
      <w:sz w:val="16"/>
      <w:szCs w:val="16"/>
    </w:rPr>
  </w:style>
  <w:style w:type="character" w:styleId="Hyperlink">
    <w:name w:val="Hyperlink"/>
    <w:basedOn w:val="Absatz-Standardschriftart"/>
    <w:uiPriority w:val="99"/>
    <w:unhideWhenUsed/>
    <w:rsid w:val="008A0B02"/>
    <w:rPr>
      <w:color w:val="0000FF" w:themeColor="hyperlink"/>
      <w:u w:val="single"/>
    </w:rPr>
  </w:style>
  <w:style w:type="character" w:customStyle="1" w:styleId="NichtaufgelsteErwhnung1">
    <w:name w:val="Nicht aufgelöste Erwähnung1"/>
    <w:basedOn w:val="Absatz-Standardschriftart"/>
    <w:uiPriority w:val="99"/>
    <w:semiHidden/>
    <w:unhideWhenUsed/>
    <w:rsid w:val="00904BB7"/>
    <w:rPr>
      <w:color w:val="605E5C"/>
      <w:shd w:val="clear" w:color="auto" w:fill="E1DFDD"/>
    </w:rPr>
  </w:style>
  <w:style w:type="character" w:customStyle="1" w:styleId="UnresolvedMention">
    <w:name w:val="Unresolved Mention"/>
    <w:basedOn w:val="Absatz-Standardschriftart"/>
    <w:uiPriority w:val="99"/>
    <w:semiHidden/>
    <w:unhideWhenUsed/>
    <w:rsid w:val="005C17E5"/>
    <w:rPr>
      <w:color w:val="605E5C"/>
      <w:shd w:val="clear" w:color="auto" w:fill="E1DFDD"/>
    </w:rPr>
  </w:style>
  <w:style w:type="paragraph" w:styleId="Kommentartext">
    <w:name w:val="annotation text"/>
    <w:basedOn w:val="Standard"/>
    <w:link w:val="KommentartextZchn"/>
    <w:uiPriority w:val="99"/>
    <w:semiHidden/>
    <w:unhideWhenUsed/>
    <w:rsid w:val="005C17E5"/>
    <w:pPr>
      <w:spacing w:after="160" w:line="240" w:lineRule="auto"/>
    </w:pPr>
    <w:rPr>
      <w:sz w:val="20"/>
      <w:szCs w:val="20"/>
    </w:rPr>
  </w:style>
  <w:style w:type="character" w:customStyle="1" w:styleId="KommentartextZchn">
    <w:name w:val="Kommentartext Zchn"/>
    <w:basedOn w:val="Absatz-Standardschriftart"/>
    <w:link w:val="Kommentartext"/>
    <w:uiPriority w:val="99"/>
    <w:semiHidden/>
    <w:rsid w:val="005C17E5"/>
    <w:rPr>
      <w:sz w:val="20"/>
      <w:szCs w:val="20"/>
    </w:rPr>
  </w:style>
  <w:style w:type="character" w:styleId="Kommentarzeichen">
    <w:name w:val="annotation reference"/>
    <w:basedOn w:val="Absatz-Standardschriftart"/>
    <w:uiPriority w:val="99"/>
    <w:semiHidden/>
    <w:unhideWhenUsed/>
    <w:rsid w:val="005C17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3766">
      <w:bodyDiv w:val="1"/>
      <w:marLeft w:val="0"/>
      <w:marRight w:val="0"/>
      <w:marTop w:val="0"/>
      <w:marBottom w:val="0"/>
      <w:divBdr>
        <w:top w:val="none" w:sz="0" w:space="0" w:color="auto"/>
        <w:left w:val="none" w:sz="0" w:space="0" w:color="auto"/>
        <w:bottom w:val="none" w:sz="0" w:space="0" w:color="auto"/>
        <w:right w:val="none" w:sz="0" w:space="0" w:color="auto"/>
      </w:divBdr>
    </w:div>
    <w:div w:id="110442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vhs-bad-marienbe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F66E-0926-470C-B8DA-F38FD8CC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Wisser</dc:creator>
  <cp:lastModifiedBy>Gerd</cp:lastModifiedBy>
  <cp:revision>2</cp:revision>
  <cp:lastPrinted>2017-05-04T06:23:00Z</cp:lastPrinted>
  <dcterms:created xsi:type="dcterms:W3CDTF">2023-02-10T21:34:00Z</dcterms:created>
  <dcterms:modified xsi:type="dcterms:W3CDTF">2023-02-10T21:34:00Z</dcterms:modified>
</cp:coreProperties>
</file>